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21A0" w:rsidRDefault="001421A0" w:rsidP="00D45351">
      <w:pPr>
        <w:spacing w:before="240" w:after="72" w:line="360" w:lineRule="auto"/>
        <w:jc w:val="center"/>
        <w:rPr>
          <w:rFonts w:asciiTheme="minorEastAsia" w:eastAsiaTheme="minorEastAsia" w:hAnsiTheme="minorEastAsia"/>
        </w:rPr>
      </w:pPr>
    </w:p>
    <w:p w:rsidR="001421A0" w:rsidRDefault="001421A0" w:rsidP="00D45351">
      <w:pPr>
        <w:spacing w:before="240" w:after="72" w:line="360" w:lineRule="auto"/>
        <w:jc w:val="center"/>
        <w:rPr>
          <w:rFonts w:asciiTheme="minorEastAsia" w:eastAsiaTheme="minorEastAsia" w:hAnsiTheme="minorEastAsia"/>
        </w:rPr>
      </w:pPr>
    </w:p>
    <w:p w:rsidR="001421A0" w:rsidRDefault="001421A0" w:rsidP="00D45351">
      <w:pPr>
        <w:spacing w:before="240" w:after="72" w:line="360" w:lineRule="auto"/>
        <w:jc w:val="center"/>
        <w:rPr>
          <w:rFonts w:asciiTheme="minorEastAsia" w:eastAsiaTheme="minorEastAsia" w:hAnsiTheme="minorEastAsia"/>
        </w:rPr>
      </w:pPr>
    </w:p>
    <w:p w:rsidR="001421A0" w:rsidRDefault="00B1693A" w:rsidP="00D45351">
      <w:pPr>
        <w:spacing w:before="240" w:after="72" w:line="360" w:lineRule="auto"/>
        <w:jc w:val="center"/>
        <w:rPr>
          <w:rFonts w:ascii="方正黑体_GBK" w:eastAsia="方正黑体_GBK"/>
          <w:sz w:val="36"/>
          <w:szCs w:val="36"/>
        </w:rPr>
      </w:pPr>
      <w:r>
        <w:rPr>
          <w:rFonts w:ascii="方正黑体_GBK" w:eastAsia="方正黑体_GBK" w:hint="eastAsia"/>
          <w:sz w:val="36"/>
          <w:szCs w:val="36"/>
        </w:rPr>
        <w:t>南银理财珠联璧合安稳1906一年定开公募人民币理财产品</w:t>
      </w:r>
    </w:p>
    <w:p w:rsidR="001421A0" w:rsidRDefault="00B1693A" w:rsidP="00D45351">
      <w:pPr>
        <w:spacing w:before="240" w:after="72" w:line="360" w:lineRule="auto"/>
        <w:jc w:val="center"/>
        <w:rPr>
          <w:rFonts w:ascii="方正黑体_GBK" w:eastAsia="方正黑体_GBK"/>
          <w:sz w:val="36"/>
          <w:szCs w:val="36"/>
        </w:rPr>
      </w:pPr>
      <w:r>
        <w:rPr>
          <w:rFonts w:ascii="方正黑体_GBK" w:eastAsia="方正黑体_GBK" w:hint="eastAsia"/>
          <w:sz w:val="36"/>
          <w:szCs w:val="36"/>
        </w:rPr>
        <w:t>2023年第</w:t>
      </w:r>
      <w:r w:rsidR="00E022D1">
        <w:rPr>
          <w:rFonts w:ascii="方正黑体_GBK" w:eastAsia="方正黑体_GBK" w:hint="eastAsia"/>
          <w:sz w:val="36"/>
          <w:szCs w:val="36"/>
        </w:rPr>
        <w:t>1</w:t>
      </w:r>
      <w:r>
        <w:rPr>
          <w:rFonts w:ascii="方正黑体_GBK" w:eastAsia="方正黑体_GBK" w:hint="eastAsia"/>
          <w:sz w:val="36"/>
          <w:szCs w:val="36"/>
        </w:rPr>
        <w:t>季度报告</w:t>
      </w:r>
    </w:p>
    <w:p w:rsidR="001421A0" w:rsidRDefault="001421A0" w:rsidP="00D45351">
      <w:pPr>
        <w:spacing w:before="240" w:after="72" w:line="360" w:lineRule="auto"/>
        <w:jc w:val="center"/>
        <w:rPr>
          <w:rFonts w:ascii="方正黑体简体" w:eastAsia="方正黑体简体"/>
          <w:sz w:val="36"/>
          <w:szCs w:val="36"/>
        </w:rPr>
      </w:pPr>
    </w:p>
    <w:p w:rsidR="001421A0" w:rsidRDefault="001421A0" w:rsidP="00D45351">
      <w:pPr>
        <w:spacing w:before="240" w:after="72" w:line="360" w:lineRule="auto"/>
        <w:jc w:val="center"/>
        <w:rPr>
          <w:rFonts w:ascii="方正黑体简体" w:eastAsia="方正黑体简体"/>
          <w:sz w:val="36"/>
          <w:szCs w:val="36"/>
        </w:rPr>
      </w:pPr>
    </w:p>
    <w:p w:rsidR="001421A0" w:rsidRDefault="001421A0" w:rsidP="00D45351">
      <w:pPr>
        <w:spacing w:before="240" w:after="72" w:line="360" w:lineRule="auto"/>
        <w:jc w:val="center"/>
        <w:rPr>
          <w:rFonts w:ascii="方正黑体简体" w:eastAsia="方正黑体简体"/>
          <w:sz w:val="36"/>
          <w:szCs w:val="36"/>
        </w:rPr>
      </w:pPr>
    </w:p>
    <w:p w:rsidR="001421A0" w:rsidRDefault="001421A0" w:rsidP="00D45351">
      <w:pPr>
        <w:spacing w:before="240" w:after="72" w:line="360" w:lineRule="auto"/>
        <w:jc w:val="center"/>
        <w:rPr>
          <w:rFonts w:ascii="方正黑体简体" w:eastAsia="方正黑体简体"/>
          <w:sz w:val="36"/>
          <w:szCs w:val="36"/>
        </w:rPr>
      </w:pPr>
    </w:p>
    <w:p w:rsidR="001421A0" w:rsidRDefault="00B1693A" w:rsidP="00D45351">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产品管理人:南银理财有限责任公司</w:t>
      </w:r>
    </w:p>
    <w:p w:rsidR="001421A0" w:rsidRDefault="00B1693A" w:rsidP="00D45351">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产品托管人:南京银行股份有限公司</w:t>
      </w:r>
    </w:p>
    <w:p w:rsidR="001421A0" w:rsidRPr="00B86655" w:rsidRDefault="001421A0" w:rsidP="00D45351">
      <w:pPr>
        <w:spacing w:before="240" w:after="72" w:line="360" w:lineRule="auto"/>
        <w:jc w:val="center"/>
        <w:rPr>
          <w:rFonts w:ascii="方正黑体简体" w:eastAsia="方正黑体简体"/>
          <w:sz w:val="36"/>
          <w:szCs w:val="36"/>
        </w:rPr>
      </w:pPr>
    </w:p>
    <w:p w:rsidR="000B4524" w:rsidRPr="00B86655" w:rsidRDefault="000B4524" w:rsidP="00D45351">
      <w:pPr>
        <w:spacing w:before="240" w:after="72" w:line="360" w:lineRule="auto"/>
        <w:jc w:val="center"/>
        <w:rPr>
          <w:rFonts w:ascii="方正黑体简体" w:eastAsia="方正黑体简体"/>
          <w:sz w:val="36"/>
          <w:szCs w:val="36"/>
        </w:rPr>
      </w:pPr>
      <w:r w:rsidRPr="00B86655">
        <w:rPr>
          <w:rFonts w:ascii="方正黑体简体" w:eastAsia="方正黑体简体"/>
          <w:sz w:val="36"/>
          <w:szCs w:val="36"/>
        </w:rPr>
        <w:br w:type="page"/>
      </w:r>
    </w:p>
    <w:p w:rsidR="001421A0" w:rsidRDefault="00B1693A" w:rsidP="00D45351">
      <w:pPr>
        <w:spacing w:before="240" w:after="72" w:line="360" w:lineRule="auto"/>
        <w:jc w:val="center"/>
        <w:rPr>
          <w:rFonts w:ascii="方正仿宋_GBK" w:eastAsia="方正仿宋_GBK" w:hAnsi="宋体" w:cs="宋体"/>
          <w:kern w:val="0"/>
          <w:sz w:val="24"/>
          <w:szCs w:val="24"/>
        </w:rPr>
      </w:pPr>
      <w:r>
        <w:rPr>
          <w:rFonts w:ascii="方正仿宋_GBK" w:eastAsia="方正仿宋_GBK" w:hAnsi="Calibri" w:hint="eastAsia"/>
          <w:b/>
        </w:rPr>
        <w:lastRenderedPageBreak/>
        <w:t xml:space="preserve">§1 </w:t>
      </w:r>
      <w:r>
        <w:rPr>
          <w:rFonts w:ascii="方正仿宋_GBK" w:eastAsia="方正仿宋_GBK" w:hAnsi="Calibri" w:hint="eastAsia"/>
          <w:b/>
          <w:sz w:val="24"/>
          <w:szCs w:val="24"/>
        </w:rPr>
        <w:t>产品概况</w:t>
      </w:r>
    </w:p>
    <w:tbl>
      <w:tblPr>
        <w:tblW w:w="8959"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6065"/>
      </w:tblGrid>
      <w:tr w:rsidR="001421A0" w:rsidTr="005B2789">
        <w:trPr>
          <w:trHeight w:val="663"/>
        </w:trPr>
        <w:tc>
          <w:tcPr>
            <w:tcW w:w="2894"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产品全称</w:t>
            </w:r>
          </w:p>
        </w:tc>
        <w:tc>
          <w:tcPr>
            <w:tcW w:w="6065"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南银理财珠联璧合安稳1906一年定开公募人民币理财产品</w:t>
            </w:r>
          </w:p>
        </w:tc>
      </w:tr>
      <w:tr w:rsidR="001421A0" w:rsidTr="005B2789">
        <w:trPr>
          <w:trHeight w:val="1207"/>
        </w:trPr>
        <w:tc>
          <w:tcPr>
            <w:tcW w:w="2894"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产品登记编码</w:t>
            </w:r>
          </w:p>
        </w:tc>
        <w:tc>
          <w:tcPr>
            <w:tcW w:w="6065"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Z7003221000025（投资者可依据该编码在中国理财网www.chinawealth.com.cn查询理财产品相关信息）</w:t>
            </w:r>
          </w:p>
        </w:tc>
      </w:tr>
      <w:tr w:rsidR="001421A0" w:rsidTr="005B2789">
        <w:trPr>
          <w:trHeight w:val="663"/>
        </w:trPr>
        <w:tc>
          <w:tcPr>
            <w:tcW w:w="2894"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产品运作方式</w:t>
            </w:r>
          </w:p>
        </w:tc>
        <w:tc>
          <w:tcPr>
            <w:tcW w:w="6065"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开放式净值型</w:t>
            </w:r>
          </w:p>
        </w:tc>
      </w:tr>
      <w:tr w:rsidR="001421A0" w:rsidTr="005B2789">
        <w:trPr>
          <w:trHeight w:val="663"/>
        </w:trPr>
        <w:tc>
          <w:tcPr>
            <w:tcW w:w="2894"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产品成立日</w:t>
            </w:r>
          </w:p>
        </w:tc>
        <w:tc>
          <w:tcPr>
            <w:tcW w:w="6065"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2019年06月19日</w:t>
            </w:r>
          </w:p>
        </w:tc>
      </w:tr>
      <w:tr w:rsidR="001421A0" w:rsidTr="005B2789">
        <w:trPr>
          <w:trHeight w:val="663"/>
        </w:trPr>
        <w:tc>
          <w:tcPr>
            <w:tcW w:w="2894"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报告期末产品份额总额</w:t>
            </w:r>
          </w:p>
        </w:tc>
        <w:tc>
          <w:tcPr>
            <w:tcW w:w="6065"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1,676,587,051.00份</w:t>
            </w:r>
          </w:p>
        </w:tc>
      </w:tr>
      <w:tr w:rsidR="001421A0" w:rsidTr="005B2789">
        <w:trPr>
          <w:trHeight w:val="639"/>
        </w:trPr>
        <w:tc>
          <w:tcPr>
            <w:tcW w:w="2894"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合作机构</w:t>
            </w:r>
          </w:p>
        </w:tc>
        <w:tc>
          <w:tcPr>
            <w:tcW w:w="6065"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南方基金管理股份有限公司</w:t>
            </w:r>
          </w:p>
        </w:tc>
      </w:tr>
      <w:tr w:rsidR="001421A0" w:rsidTr="005B2789">
        <w:trPr>
          <w:trHeight w:val="663"/>
        </w:trPr>
        <w:tc>
          <w:tcPr>
            <w:tcW w:w="2894"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产品管理人</w:t>
            </w:r>
          </w:p>
        </w:tc>
        <w:tc>
          <w:tcPr>
            <w:tcW w:w="6065"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南银理财有限责任公司</w:t>
            </w:r>
          </w:p>
        </w:tc>
      </w:tr>
      <w:tr w:rsidR="001421A0" w:rsidTr="005B2789">
        <w:trPr>
          <w:trHeight w:val="663"/>
        </w:trPr>
        <w:tc>
          <w:tcPr>
            <w:tcW w:w="2894"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产品托管人</w:t>
            </w:r>
          </w:p>
        </w:tc>
        <w:tc>
          <w:tcPr>
            <w:tcW w:w="6065"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南京银行股份有限公司</w:t>
            </w:r>
          </w:p>
        </w:tc>
      </w:tr>
    </w:tbl>
    <w:p w:rsidR="001421A0" w:rsidRDefault="001421A0" w:rsidP="00D45351">
      <w:pPr>
        <w:spacing w:before="240" w:after="72" w:line="360" w:lineRule="auto"/>
        <w:rPr>
          <w:rFonts w:ascii="方正仿宋_GBK" w:eastAsia="方正仿宋_GBK" w:hAnsi="宋体" w:cs="宋体"/>
          <w:kern w:val="0"/>
          <w:sz w:val="24"/>
          <w:szCs w:val="24"/>
        </w:rPr>
      </w:pPr>
    </w:p>
    <w:p w:rsidR="001421A0" w:rsidRDefault="00B1693A" w:rsidP="00D45351">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§2  主要财务指标和产品</w:t>
      </w:r>
      <w:r>
        <w:rPr>
          <w:rFonts w:ascii="方正仿宋_GBK" w:eastAsia="方正仿宋_GBK" w:hint="eastAsia"/>
          <w:b/>
          <w:sz w:val="24"/>
          <w:szCs w:val="24"/>
        </w:rPr>
        <w:t>业绩比较基准</w:t>
      </w:r>
    </w:p>
    <w:p w:rsidR="001421A0" w:rsidRDefault="00B1693A" w:rsidP="00D45351">
      <w:pPr>
        <w:spacing w:before="240" w:after="72" w:line="360" w:lineRule="auto"/>
        <w:rPr>
          <w:rFonts w:ascii="方正仿宋_GBK" w:eastAsia="方正仿宋_GBK"/>
          <w:b/>
          <w:sz w:val="24"/>
          <w:szCs w:val="24"/>
        </w:rPr>
      </w:pPr>
      <w:r>
        <w:rPr>
          <w:rFonts w:ascii="方正仿宋_GBK" w:eastAsia="方正仿宋_GBK" w:hint="eastAsia"/>
          <w:b/>
          <w:sz w:val="24"/>
          <w:szCs w:val="24"/>
        </w:rPr>
        <w:t>2.1 主要财务指标</w:t>
      </w:r>
    </w:p>
    <w:p w:rsidR="001421A0" w:rsidRDefault="00B1693A" w:rsidP="00D45351">
      <w:pPr>
        <w:spacing w:before="240" w:after="72" w:line="360" w:lineRule="auto"/>
        <w:jc w:val="right"/>
        <w:rPr>
          <w:rFonts w:ascii="方正仿宋_GBK" w:eastAsia="方正仿宋_GBK"/>
          <w:sz w:val="24"/>
          <w:szCs w:val="24"/>
        </w:rPr>
      </w:pPr>
      <w:r>
        <w:rPr>
          <w:rFonts w:ascii="方正仿宋_GBK" w:eastAsia="方正仿宋_GBK" w:cs="宋体" w:hint="eastAsia"/>
          <w:kern w:val="0"/>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296"/>
        <w:gridCol w:w="2705"/>
        <w:gridCol w:w="2030"/>
        <w:gridCol w:w="2036"/>
      </w:tblGrid>
      <w:tr w:rsidR="001421A0" w:rsidTr="005B2789">
        <w:trPr>
          <w:trHeight w:val="613"/>
          <w:jc w:val="center"/>
        </w:trPr>
        <w:tc>
          <w:tcPr>
            <w:tcW w:w="2296" w:type="dxa"/>
            <w:vMerge w:val="restart"/>
            <w:vAlign w:val="center"/>
          </w:tcPr>
          <w:p w:rsidR="001421A0" w:rsidRDefault="00B1693A" w:rsidP="00E022D1">
            <w:pPr>
              <w:spacing w:beforeLines="20" w:afterLines="20" w:line="360" w:lineRule="auto"/>
              <w:jc w:val="center"/>
              <w:rPr>
                <w:rFonts w:ascii="方正仿宋_GBK" w:eastAsia="方正仿宋_GBK"/>
                <w:sz w:val="24"/>
                <w:szCs w:val="24"/>
              </w:rPr>
            </w:pPr>
            <w:r>
              <w:rPr>
                <w:rFonts w:ascii="方正仿宋_GBK" w:eastAsia="方正仿宋_GBK" w:hint="eastAsia"/>
                <w:sz w:val="24"/>
                <w:szCs w:val="24"/>
              </w:rPr>
              <w:t>内部销售代码</w:t>
            </w:r>
          </w:p>
        </w:tc>
        <w:tc>
          <w:tcPr>
            <w:tcW w:w="6771" w:type="dxa"/>
            <w:gridSpan w:val="3"/>
            <w:vAlign w:val="center"/>
          </w:tcPr>
          <w:p w:rsidR="001421A0" w:rsidRDefault="00B1693A" w:rsidP="00E022D1">
            <w:pPr>
              <w:snapToGrid/>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报告期（2023年01月01日 - 2023年03月31日）</w:t>
            </w:r>
          </w:p>
        </w:tc>
      </w:tr>
      <w:tr w:rsidR="001421A0" w:rsidTr="005B2789">
        <w:trPr>
          <w:trHeight w:val="1664"/>
          <w:jc w:val="center"/>
        </w:trPr>
        <w:tc>
          <w:tcPr>
            <w:tcW w:w="2296" w:type="dxa"/>
            <w:vMerge/>
            <w:vAlign w:val="center"/>
          </w:tcPr>
          <w:p w:rsidR="001421A0" w:rsidRDefault="001421A0" w:rsidP="00E022D1">
            <w:pPr>
              <w:spacing w:beforeLines="20" w:afterLines="20" w:line="360" w:lineRule="auto"/>
              <w:jc w:val="center"/>
              <w:rPr>
                <w:rFonts w:ascii="方正仿宋_GBK" w:eastAsia="方正仿宋_GBK"/>
                <w:sz w:val="24"/>
                <w:szCs w:val="24"/>
              </w:rPr>
            </w:pPr>
          </w:p>
        </w:tc>
        <w:tc>
          <w:tcPr>
            <w:tcW w:w="2705" w:type="dxa"/>
            <w:vAlign w:val="center"/>
          </w:tcPr>
          <w:p w:rsidR="001421A0" w:rsidRDefault="00B1693A" w:rsidP="00E022D1">
            <w:pPr>
              <w:snapToGrid/>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1.期末产品最后一个市场交易日资产净值</w:t>
            </w:r>
          </w:p>
        </w:tc>
        <w:tc>
          <w:tcPr>
            <w:tcW w:w="2030" w:type="dxa"/>
            <w:vAlign w:val="center"/>
          </w:tcPr>
          <w:p w:rsidR="001421A0" w:rsidRDefault="00B1693A" w:rsidP="00E022D1">
            <w:pPr>
              <w:snapToGrid/>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2.期末产品最后一个市场交易日份额净值</w:t>
            </w:r>
          </w:p>
        </w:tc>
        <w:tc>
          <w:tcPr>
            <w:tcW w:w="2036" w:type="dxa"/>
            <w:vAlign w:val="center"/>
          </w:tcPr>
          <w:p w:rsidR="001421A0" w:rsidRDefault="00B1693A" w:rsidP="00E022D1">
            <w:pPr>
              <w:snapToGrid/>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3.期末产品最后一个市场交易日份额累计净值</w:t>
            </w:r>
          </w:p>
        </w:tc>
      </w:tr>
      <w:tr>
        <w:trPr>
          <w:trHeight w:val="557"/>
          <w:jc w:val="center"/>
        </w:trPr>
        <w:tc>
          <w:tcPr>
            <w:tcW w:w="2296" w:type="dxa"/>
            <w:vAlign w:val="center"/>
            <w:vAlign w:val="center"/>
          </w:tcPr>
          <w:p>
            <w:pPr>
              <w:spacing w:beforeLines="20" w:afterLines="20" w:line="360" w:lineRule="auto"/>
              <w:jc w:val="center"/>
              <w:textAlignment w:val="center"/>
              <w:rPr>
                <w:rFonts w:ascii="方正仿宋_GBK" w:eastAsia="方正仿宋_GBK"/>
                <w:sz w:val="24"/>
                <w:szCs w:val="24"/>
                <w:shd w:val="clear" w:color="auto" w:fill="FFFFFF"/>
              </w:rPr>
            </w:pPr>
            <w:r>
              <w:rPr>
                <w:rFonts w:ascii="方正仿宋_GBK" w:hAnsi="方正仿宋_GBK" w:cs="方正仿宋_GBK" w:eastAsia="方正仿宋_GBK"/>
                <w:sz w:val="24"/>
              </w:rPr>
              <w:t>Z30002</w:t>
            </w:r>
          </w:p>
        </w:tc>
        <w:tc>
          <w:tcPr>
            <w:tcW w:w="2705" w:type="dxa"/>
            <w:vAlign w:val="center"/>
            <w:vAlign w:val="center"/>
          </w:tcPr>
          <w:p>
            <w:pPr>
              <w:spacing w:beforeLines="20" w:afterLines="20" w:line="360" w:lineRule="auto"/>
              <w:jc w:val="center"/>
              <w:textAlignment w:val="center"/>
              <w:rPr>
                <w:rFonts w:ascii="方正仿宋_GBK" w:eastAsia="方正仿宋_GBK"/>
                <w:sz w:val="24"/>
                <w:szCs w:val="24"/>
              </w:rPr>
            </w:pPr>
            <w:r>
              <w:rPr>
                <w:rFonts w:ascii="方正仿宋_GBK" w:hAnsi="方正仿宋_GBK" w:cs="方正仿宋_GBK" w:eastAsia="方正仿宋_GBK"/>
                <w:sz w:val="24"/>
              </w:rPr>
              <w:t>1,719,646,765.45</w:t>
            </w:r>
          </w:p>
        </w:tc>
        <w:tc>
          <w:tcPr>
            <w:tcW w:w="2030" w:type="dxa"/>
            <w:vAlign w:val="center"/>
            <w:vAlign w:val="center"/>
          </w:tcPr>
          <w:p>
            <w:pPr>
              <w:spacing w:beforeLines="20" w:afterLines="20" w:line="360" w:lineRule="auto"/>
              <w:jc w:val="center"/>
              <w:textAlignment w:val="center"/>
              <w:rPr>
                <w:rFonts w:ascii="方正仿宋_GBK" w:eastAsia="方正仿宋_GBK"/>
                <w:sz w:val="24"/>
                <w:szCs w:val="24"/>
              </w:rPr>
            </w:pPr>
            <w:r>
              <w:rPr>
                <w:rFonts w:ascii="方正仿宋_GBK" w:hAnsi="方正仿宋_GBK" w:cs="方正仿宋_GBK" w:eastAsia="方正仿宋_GBK"/>
                <w:sz w:val="24"/>
              </w:rPr>
              <w:t>1.0256</w:t>
            </w:r>
          </w:p>
        </w:tc>
        <w:tc>
          <w:tcPr>
            <w:tcW w:w="2036" w:type="dxa"/>
            <w:vAlign w:val="center"/>
            <w:vAlign w:val="center"/>
          </w:tcPr>
          <w:p>
            <w:pPr>
              <w:spacing w:beforeLines="20" w:afterLines="20" w:line="360" w:lineRule="auto"/>
              <w:jc w:val="center"/>
              <w:textAlignment w:val="center"/>
              <w:rPr>
                <w:rFonts w:ascii="方正仿宋_GBK" w:eastAsia="方正仿宋_GBK"/>
                <w:sz w:val="24"/>
                <w:szCs w:val="24"/>
              </w:rPr>
            </w:pPr>
            <w:r>
              <w:rPr>
                <w:rFonts w:ascii="方正仿宋_GBK" w:hAnsi="方正仿宋_GBK" w:cs="方正仿宋_GBK" w:eastAsia="方正仿宋_GBK"/>
                <w:sz w:val="24"/>
              </w:rPr>
              <w:t>1.1652</w:t>
            </w:r>
          </w:p>
        </w:tc>
      </w:tr>
    </w:tbl>
    <w:p w:rsidR="001421A0" w:rsidRDefault="00B1693A" w:rsidP="00D45351">
      <w:pPr>
        <w:pStyle w:val="biaogeleft"/>
        <w:spacing w:before="240" w:after="72" w:line="360" w:lineRule="auto"/>
        <w:ind w:left="0"/>
        <w:rPr>
          <w:color w:val="000000"/>
        </w:rPr>
      </w:pPr>
      <w:r>
        <w:rPr>
          <w:rFonts w:ascii="方正仿宋_GBK" w:eastAsia="方正仿宋_GBK" w:hAnsiTheme="minorHAnsi" w:cstheme="minorBidi" w:hint="eastAsia"/>
          <w:kern w:val="2"/>
        </w:rPr>
        <w:t>注：产品净值可能存在未扣除管理人及投资合作机构业绩报酬、赎回费等费用（如有）的情况，实际收益以兑付为准。</w:t>
      </w:r>
    </w:p>
    <w:p w:rsidR="001421A0" w:rsidRDefault="001421A0" w:rsidP="00D45351">
      <w:pPr>
        <w:spacing w:before="240" w:after="72" w:line="360" w:lineRule="auto"/>
        <w:rPr>
          <w:rFonts w:ascii="方正仿宋_GBK" w:eastAsia="方正仿宋_GBK"/>
          <w:sz w:val="24"/>
          <w:szCs w:val="24"/>
        </w:rPr>
      </w:pPr>
    </w:p>
    <w:p w:rsidR="001421A0" w:rsidRDefault="00B1693A" w:rsidP="00D45351">
      <w:pPr>
        <w:spacing w:before="240" w:after="72" w:line="360" w:lineRule="auto"/>
        <w:rPr>
          <w:rFonts w:ascii="方正仿宋_GBK" w:eastAsia="方正仿宋_GBK"/>
          <w:b/>
          <w:sz w:val="24"/>
          <w:szCs w:val="24"/>
        </w:rPr>
      </w:pPr>
      <w:r>
        <w:rPr>
          <w:rFonts w:ascii="方正仿宋_GBK" w:eastAsia="方正仿宋_GBK" w:hint="eastAsia"/>
          <w:b/>
          <w:sz w:val="24"/>
          <w:szCs w:val="24"/>
        </w:rPr>
        <w:t>2.2 产品业绩比较基准</w:t>
      </w:r>
    </w:p>
    <w:p w:rsidR="001421A0" w:rsidRDefault="00B1693A" w:rsidP="00D45351">
      <w:pPr>
        <w:spacing w:before="240" w:after="72" w:line="360" w:lineRule="auto"/>
        <w:rPr>
          <w:rFonts w:ascii="方正仿宋_GBK" w:eastAsia="方正仿宋_GBK"/>
          <w:b/>
          <w:sz w:val="24"/>
          <w:szCs w:val="24"/>
        </w:rPr>
      </w:pPr>
      <w:r>
        <w:rPr>
          <w:rFonts w:ascii="方正仿宋_GBK" w:eastAsia="方正仿宋_GBK" w:hint="eastAsia"/>
          <w:b/>
          <w:sz w:val="24"/>
          <w:szCs w:val="24"/>
        </w:rPr>
        <w:t>2.2.1本报告期产品业绩比较基准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4485"/>
        <w:gridCol w:w="2095"/>
        <w:gridCol w:w="2322"/>
      </w:tblGrid>
      <w:tr w:rsidR="001421A0" w:rsidTr="00B1693A">
        <w:trPr>
          <w:jc w:val="center"/>
        </w:trPr>
        <w:tc>
          <w:tcPr>
            <w:tcW w:w="4537" w:type="dxa"/>
            <w:vAlign w:val="center"/>
          </w:tcPr>
          <w:p w:rsidR="001421A0" w:rsidRDefault="00B1693A" w:rsidP="00E022D1">
            <w:pPr>
              <w:snapToGrid/>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阶段</w:t>
            </w:r>
          </w:p>
        </w:tc>
        <w:tc>
          <w:tcPr>
            <w:tcW w:w="2118" w:type="dxa"/>
            <w:vAlign w:val="center"/>
          </w:tcPr>
          <w:p w:rsidR="001421A0" w:rsidRDefault="00B1693A" w:rsidP="00E022D1">
            <w:pPr>
              <w:snapToGrid/>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内部销售代码</w:t>
            </w:r>
          </w:p>
        </w:tc>
        <w:tc>
          <w:tcPr>
            <w:tcW w:w="2347" w:type="dxa"/>
            <w:vAlign w:val="center"/>
          </w:tcPr>
          <w:p w:rsidR="001421A0" w:rsidRDefault="00B1693A" w:rsidP="00E022D1">
            <w:pPr>
              <w:snapToGrid/>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业绩比较基准</w:t>
            </w:r>
          </w:p>
        </w:tc>
      </w:tr>
      <w:tr>
        <w:trPr>
          <w:jc w:val="center"/>
        </w:trPr>
        <w:tc>
          <w:tcPr>
            <w:tcW w:w="4537" w:type="dxa"/>
            <w:vAlign w:val="center"/>
            <w:vAlign w:val="center"/>
          </w:tcPr>
          <w:p>
            <w:pPr>
              <w:snapToGrid/>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2023年01月01日 - 2023年03月31日</w:t>
            </w:r>
          </w:p>
        </w:tc>
        <w:tc>
          <w:tcPr>
            <w:tcW w:w="2118" w:type="dxa"/>
            <w:vAlign w:val="center"/>
            <w:vAlign w:val="center"/>
          </w:tcPr>
          <w:p>
            <w:pPr>
              <w:snapToGrid/>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Z30002</w:t>
            </w:r>
          </w:p>
        </w:tc>
        <w:tc>
          <w:tcPr>
            <w:tcW w:w="2347" w:type="dxa"/>
            <w:vAlign w:val="center"/>
            <w:vAlign w:val="center"/>
          </w:tcPr>
          <w:p>
            <w:pPr>
              <w:snapToGrid/>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3.69%</w:t>
            </w:r>
          </w:p>
        </w:tc>
      </w:tr>
    </w:tbl>
    <w:p w:rsidR="001421A0" w:rsidRDefault="001421A0" w:rsidP="00D45351">
      <w:pPr>
        <w:spacing w:before="240" w:after="72" w:line="360" w:lineRule="auto"/>
        <w:rPr>
          <w:rFonts w:ascii="方正仿宋_GBK" w:eastAsia="方正仿宋_GBK"/>
          <w:sz w:val="24"/>
          <w:szCs w:val="24"/>
        </w:rPr>
      </w:pPr>
    </w:p>
    <w:p w:rsidR="001421A0" w:rsidRDefault="00B1693A" w:rsidP="00D45351">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§3  管理人报告</w:t>
      </w:r>
    </w:p>
    <w:p w:rsidR="001421A0" w:rsidRDefault="00B1693A" w:rsidP="00D45351">
      <w:pPr>
        <w:spacing w:before="240" w:after="72" w:line="360" w:lineRule="auto"/>
        <w:rPr>
          <w:rFonts w:ascii="方正仿宋_GBK" w:eastAsia="方正仿宋_GBK"/>
          <w:b/>
          <w:sz w:val="24"/>
          <w:szCs w:val="24"/>
        </w:rPr>
      </w:pPr>
      <w:r>
        <w:rPr>
          <w:rFonts w:ascii="方正仿宋_GBK" w:eastAsia="方正仿宋_GBK" w:hint="eastAsia"/>
          <w:b/>
          <w:sz w:val="24"/>
          <w:szCs w:val="24"/>
        </w:rPr>
        <w:t>3.1 报告期内产品的投资策略和运作分析</w:t>
      </w:r>
      <w:r>
        <w:rPr>
          <w:rFonts w:ascii="方正仿宋_GBK" w:eastAsia="方正仿宋_GBK" w:hint="eastAsia"/>
          <w:b/>
          <w:sz w:val="24"/>
          <w:szCs w:val="24"/>
        </w:rPr>
        <w:tab/>
      </w:r>
    </w:p>
    <w:p w:rsidR="001421A0" w:rsidRDefault="00B1693A" w:rsidP="00D45351">
      <w:pPr>
        <w:spacing w:before="240" w:after="72" w:line="360" w:lineRule="auto"/>
        <w:rPr>
          <w:rFonts w:ascii="方正仿宋_GBK" w:eastAsia="方正仿宋_GBK"/>
          <w:sz w:val="24"/>
          <w:szCs w:val="24"/>
        </w:rPr>
      </w:pPr>
      <w:r>
        <w:rPr>
          <w:rFonts w:ascii="方正仿宋_GBK" w:eastAsia="方正仿宋_GBK" w:hint="eastAsia"/>
          <w:sz w:val="24"/>
          <w:szCs w:val="24"/>
        </w:rPr>
        <w:t>    一季度国内经济呈现整体弱复苏，结构分化明显的特征，主要体现在基建发力前置但地产修复力度偏弱，消费的反弹力度相对弱于年初市场预期，且持续回升的动力不足。海外银行业风险事件持续发酵，市场风险偏好下降，叠加国内央行意外降准，年初以来债券从偏空转向偏多。一季度利率债经历了先上后下的过程，整体处于窄幅波动状态，至季末10年国债上行3bp至2.85%，信用债多数品种、期限下行10-50bp不等，中低评级下行幅度更大，其中1年AA表现最优，信用利差收窄10-70bp不等。</w:t>
        <w:br w:type="textWrapping" w:clear="all"/>
      </w:r>
      <w:r>
        <w:rPr>
          <w:rFonts w:ascii="方正仿宋_GBK" w:eastAsia="方正仿宋_GBK" w:hint="eastAsia"/>
          <w:sz w:val="24"/>
          <w:szCs w:val="24"/>
        </w:rPr>
        <w:t xml:space="preserve">    往后看，经济复苏斜率的变化和持续性仍待观察，地产销售和消费数据依然不算太强，货币政策大概率会呵护资金面维持宽松，因此对债市后续表现不悲观，调整风险可控，票息策略可能仍相对占优，保持适度杠杆以增厚票息收益，控制久期。 </w:t>
        <w:br w:type="textWrapping" w:clear="all"/>
      </w:r>
      <w:r>
        <w:rPr>
          <w:rFonts w:ascii="方正仿宋_GBK" w:eastAsia="方正仿宋_GBK" w:hint="eastAsia"/>
          <w:sz w:val="24"/>
          <w:szCs w:val="24"/>
        </w:rPr>
        <w:t xml:space="preserve">    本产品为中长期、定期开放式产品，在运作期内主配置2-3年信用债，积极采用杠杆、久期等工具获取收益增厚。后续我们将继续研判市场，积极把握市场机会，今年理财和信用债之间的正反馈、负反馈都会出现，收益率下行过快时会以短期资产过渡，等待后续市场调整时，再拉长久期。</w:t>
      </w:r>
      <w:r>
        <w:rPr>
          <w:rFonts w:ascii="方正仿宋_GBK" w:eastAsia="方正仿宋_GBK" w:hint="eastAsia"/>
          <w:sz w:val="24"/>
          <w:szCs w:val="24"/>
        </w:rPr>
        <w:t/>
      </w:r>
    </w:p>
    <w:p w:rsidR="001421A0" w:rsidRDefault="00B1693A" w:rsidP="00D45351">
      <w:pPr>
        <w:spacing w:before="240" w:after="72" w:line="360" w:lineRule="auto"/>
        <w:rPr>
          <w:rFonts w:ascii="方正仿宋_GBK" w:eastAsia="方正仿宋_GBK"/>
          <w:b/>
          <w:sz w:val="24"/>
          <w:szCs w:val="24"/>
        </w:rPr>
      </w:pPr>
      <w:r>
        <w:rPr>
          <w:rFonts w:ascii="方正仿宋_GBK" w:eastAsia="方正仿宋_GBK" w:hint="eastAsia"/>
          <w:b/>
          <w:sz w:val="24"/>
          <w:szCs w:val="24"/>
        </w:rPr>
        <w:t>3.2 报告期内产品的流动性风险分析</w:t>
      </w:r>
    </w:p>
    <w:p w:rsidR="001421A0" w:rsidRDefault="00B1693A" w:rsidP="00D45351">
      <w:pPr>
        <w:spacing w:before="240" w:after="72" w:line="360" w:lineRule="auto"/>
        <w:rPr>
          <w:rFonts w:ascii="方正仿宋_GBK" w:eastAsia="方正仿宋_GBK"/>
          <w:sz w:val="24"/>
          <w:szCs w:val="24"/>
        </w:rPr>
      </w:pPr>
      <w:r>
        <w:rPr>
          <w:rFonts w:ascii="方正仿宋_GBK" w:eastAsia="方正仿宋_GBK"/>
          <w:sz w:val="24"/>
          <w:szCs w:val="24"/>
        </w:rPr>
        <w:t>    本产品持仓中维持合理比例高流动性资产，杠杆处于合理水平，流动性状况较好。</w:t>
      </w:r>
    </w:p>
    <w:p w:rsidR="001421A0" w:rsidRDefault="00B1693A" w:rsidP="00D45351">
      <w:pPr>
        <w:spacing w:before="240" w:after="72" w:line="360" w:lineRule="auto"/>
        <w:rPr>
          <w:rFonts w:ascii="方正仿宋_GBK" w:eastAsia="方正仿宋_GBK"/>
          <w:b/>
          <w:sz w:val="24"/>
          <w:szCs w:val="24"/>
        </w:rPr>
      </w:pPr>
      <w:r>
        <w:rPr>
          <w:rFonts w:ascii="方正仿宋_GBK" w:eastAsia="方正仿宋_GBK" w:hint="eastAsia"/>
          <w:b/>
          <w:sz w:val="24"/>
          <w:szCs w:val="24"/>
        </w:rPr>
        <w:t>3.3 报告期内产品的业绩表现</w:t>
      </w:r>
    </w:p>
    <w:p w:rsidR="001421A0" w:rsidRDefault="00B1693A" w:rsidP="00D45351">
      <w:pPr>
        <w:snapToGrid/>
        <w:spacing w:before="240" w:after="72" w:line="360" w:lineRule="auto"/>
        <w:ind w:firstLineChars="200" w:firstLine="480"/>
        <w:jc w:val="both"/>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截至报告期末，本产品份额净值为1.0256元。</w:t>
      </w:r>
    </w:p>
    <w:p w:rsidR="001421A0" w:rsidRDefault="001421A0" w:rsidP="00D45351">
      <w:pPr>
        <w:spacing w:before="240" w:after="72" w:line="360" w:lineRule="auto"/>
        <w:rPr>
          <w:rFonts w:ascii="方正仿宋_GBK" w:eastAsia="方正仿宋_GBK" w:hAnsi="宋体"/>
          <w:sz w:val="24"/>
          <w:szCs w:val="24"/>
        </w:rPr>
      </w:pPr>
    </w:p>
    <w:p w:rsidR="001421A0" w:rsidRDefault="00B1693A" w:rsidP="00D45351">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§4  投资组合报告</w:t>
      </w:r>
    </w:p>
    <w:p w:rsidR="001421A0" w:rsidRDefault="00B1693A" w:rsidP="00D45351">
      <w:pPr>
        <w:spacing w:before="240" w:after="72" w:line="360" w:lineRule="auto"/>
        <w:rPr>
          <w:rFonts w:ascii="方正仿宋_GBK" w:eastAsia="方正仿宋_GBK"/>
          <w:b/>
          <w:sz w:val="24"/>
          <w:szCs w:val="24"/>
        </w:rPr>
      </w:pPr>
      <w:r>
        <w:rPr>
          <w:rFonts w:ascii="方正仿宋_GBK" w:eastAsia="方正仿宋_GBK"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穿透前占总资产比例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穿透后占总资产比例</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r>
    </w:tbl>
    <w:p w:rsidR="001421A0" w:rsidRDefault="001421A0" w:rsidP="00D45351">
      <w:pPr>
        <w:spacing w:before="240" w:after="72" w:line="360" w:lineRule="auto"/>
        <w:rPr>
          <w:rFonts w:ascii="方正仿宋_GBK" w:eastAsia="方正仿宋_GBK"/>
          <w:sz w:val="24"/>
          <w:szCs w:val="24"/>
        </w:rPr>
      </w:pPr>
    </w:p>
    <w:p w:rsidR="001421A0" w:rsidRDefault="00B1693A" w:rsidP="00D45351">
      <w:pPr>
        <w:spacing w:before="240" w:after="72" w:line="360" w:lineRule="auto"/>
        <w:rPr>
          <w:rFonts w:ascii="方正仿宋_GBK" w:eastAsia="方正仿宋_GBK"/>
          <w:b/>
          <w:sz w:val="24"/>
          <w:szCs w:val="24"/>
        </w:rPr>
      </w:pPr>
      <w:r>
        <w:rPr>
          <w:rFonts w:ascii="方正仿宋_GBK" w:eastAsia="方正仿宋_GBK"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B1693A" w:rsidTr="00395C1C">
        <w:trPr>
          <w:trHeight w:val="1233"/>
          <w:jc w:val="center"/>
        </w:trPr>
        <w:tc>
          <w:tcPr>
            <w:tcW w:w="751"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585"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代码</w:t>
            </w:r>
          </w:p>
        </w:tc>
        <w:tc>
          <w:tcPr>
            <w:tcW w:w="2720"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名称</w:t>
            </w:r>
          </w:p>
        </w:tc>
        <w:tc>
          <w:tcPr>
            <w:tcW w:w="2058"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公允价值（元）</w:t>
            </w:r>
          </w:p>
        </w:tc>
        <w:tc>
          <w:tcPr>
            <w:tcW w:w="1812"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22088884</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22泰州城建09</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299,865,049.08</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17.44</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22088935</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22江宁城建05</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199,848,966.86</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11.62</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22088855</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22盐城交通11</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89,957,434.87</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5.23</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TYJKX202207260001</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同业借款（邦银金租）20220728-1</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59,959,752.87</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3.49</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032000966</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20长兴太湖PPN001</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50,380,100.00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2.93</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6</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ZJQTT202103220021</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南方基金恒远尊享1号集合资产管理计划</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50,336,914.95</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2.93</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7</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114802</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20商丘02</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50,108,400.00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2.91</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8</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TYJKX202207110003</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同业借款（兴业消金）20220712</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49,978,592.68</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2.91</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9</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22088912</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22江宁科学园04</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49,969,979.93</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2.91</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TYJKX202207180003</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同业借款（渝农商金租）20220036</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49,965,727.98</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2.91</w:t>
            </w:r>
          </w:p>
        </w:tc>
      </w:tr>
    </w:tbl>
    <w:p w:rsidR="001421A0" w:rsidRDefault="001421A0" w:rsidP="00D45351">
      <w:pPr>
        <w:spacing w:before="240" w:after="72" w:line="360" w:lineRule="auto"/>
        <w:rPr>
          <w:rFonts w:ascii="方正仿宋_GBK" w:eastAsia="方正仿宋_GBK" w:hAnsi="宋体" w:cs="宋体"/>
          <w:sz w:val="24"/>
          <w:szCs w:val="24"/>
          <w:shd w:val="clear" w:color="auto" w:fill="FFFFFF"/>
        </w:rPr>
      </w:pPr>
    </w:p>
    <w:p w:rsidR="001421A0" w:rsidRDefault="00B1693A" w:rsidP="00D45351">
      <w:pPr>
        <w:spacing w:before="240" w:after="72" w:line="360" w:lineRule="auto"/>
        <w:rPr>
          <w:rFonts w:ascii="方正仿宋_GBK" w:eastAsia="方正仿宋_GBK" w:hAnsi="宋体" w:cs="宋体"/>
          <w:b/>
          <w:sz w:val="24"/>
          <w:szCs w:val="24"/>
          <w:shd w:val="clear" w:color="auto" w:fill="FFFFFF"/>
        </w:rPr>
      </w:pPr>
      <w:r>
        <w:rPr>
          <w:rFonts w:ascii="方正仿宋_GBK" w:eastAsia="方正仿宋_GBK" w:hAnsi="宋体" w:cs="宋体" w:hint="eastAsia"/>
          <w:b/>
          <w:sz w:val="24"/>
          <w:szCs w:val="24"/>
          <w:shd w:val="clear" w:color="auto" w:fill="FFFFFF"/>
        </w:rPr>
        <w:t>4.3报告期末非标准化债权类资产明细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63"/>
        <w:gridCol w:w="1671"/>
        <w:gridCol w:w="1252"/>
        <w:gridCol w:w="1511"/>
        <w:gridCol w:w="1357"/>
        <w:gridCol w:w="1248"/>
        <w:gridCol w:w="1000"/>
      </w:tblGrid>
      <w:tr w:rsidR="00B1693A" w:rsidTr="00395C1C">
        <w:trPr>
          <w:trHeight w:val="1078"/>
          <w:jc w:val="center"/>
        </w:trPr>
        <w:tc>
          <w:tcPr>
            <w:tcW w:w="877"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704"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融资客户</w:t>
            </w:r>
          </w:p>
        </w:tc>
        <w:tc>
          <w:tcPr>
            <w:tcW w:w="1275"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项目名称</w:t>
            </w:r>
          </w:p>
        </w:tc>
        <w:tc>
          <w:tcPr>
            <w:tcW w:w="1540"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剩余融资期限（</w:t>
            </w:r>
            <w:r>
              <w:rPr>
                <w:rFonts w:ascii="方正仿宋_GBK" w:eastAsia="方正仿宋_GBK" w:hAnsi="仿宋_GB2312" w:cs="仿宋_GB2312"/>
                <w:sz w:val="24"/>
                <w:szCs w:val="24"/>
              </w:rPr>
              <w:t>天）</w:t>
            </w:r>
          </w:p>
        </w:tc>
        <w:tc>
          <w:tcPr>
            <w:tcW w:w="1383"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到期收益分配</w:t>
            </w:r>
          </w:p>
        </w:tc>
        <w:tc>
          <w:tcPr>
            <w:tcW w:w="1271"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交易结构</w:t>
            </w:r>
          </w:p>
        </w:tc>
        <w:tc>
          <w:tcPr>
            <w:tcW w:w="1017"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南京浦口经济开发有限公司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22浦口经开03</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40</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101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盐城市交通投资建设控股集团有限公司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22盐城交通11</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91</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101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泰州市城市建设投资集团有限公司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22泰州城建09</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91</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101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渝农商金融租赁有限责任公司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同业借款（渝农商金租）20220036</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102</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同业借款</w:t>
            </w:r>
          </w:p>
        </w:tc>
        <w:tc>
          <w:tcPr>
            <w:tcW w:w="101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南京江宁城市建设集团有限公司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22江宁城建05</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102</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101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6</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邦银金融租赁股份有限公司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同业借款（邦银金租）20220728-1</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103</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同业借款</w:t>
            </w:r>
          </w:p>
        </w:tc>
        <w:tc>
          <w:tcPr>
            <w:tcW w:w="101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7</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兴业消费金融股份公司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同业借款（兴业消金）20220712</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103</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同业借款</w:t>
            </w:r>
          </w:p>
        </w:tc>
        <w:tc>
          <w:tcPr>
            <w:tcW w:w="101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8</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南京江宁科学园发展有限公司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22江宁科学园04</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103</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101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bl>
    <w:p w:rsidR="001421A0" w:rsidRDefault="001421A0" w:rsidP="00D45351">
      <w:pPr>
        <w:spacing w:before="240" w:after="72" w:line="360" w:lineRule="auto"/>
        <w:rPr>
          <w:rFonts w:ascii="方正仿宋_GBK" w:eastAsia="方正仿宋_GBK" w:hAnsi="宋体" w:cs="宋体"/>
          <w:sz w:val="24"/>
          <w:szCs w:val="24"/>
          <w:shd w:val="clear" w:color="auto" w:fill="FFFFFF"/>
        </w:rPr>
      </w:pPr>
    </w:p>
    <w:p w:rsidR="001421A0" w:rsidRDefault="00B1693A" w:rsidP="00D45351">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696"/>
        <w:gridCol w:w="1567"/>
        <w:gridCol w:w="2668"/>
        <w:gridCol w:w="1983"/>
        <w:gridCol w:w="1988"/>
      </w:tblGrid>
      <w:tr w:rsidR="00B612B8" w:rsidTr="007C7DC4">
        <w:trPr>
          <w:trHeight w:val="584"/>
          <w:jc w:val="center"/>
        </w:trPr>
        <w:tc>
          <w:tcPr>
            <w:tcW w:w="696" w:type="dxa"/>
            <w:vAlign w:val="center"/>
          </w:tcPr>
          <w:p w:rsidR="00B612B8" w:rsidRDefault="00B612B8" w:rsidP="00E022D1">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序号</w:t>
            </w:r>
          </w:p>
        </w:tc>
        <w:tc>
          <w:tcPr>
            <w:tcW w:w="1567" w:type="dxa"/>
            <w:vAlign w:val="center"/>
          </w:tcPr>
          <w:p w:rsidR="00B612B8" w:rsidRDefault="00B612B8" w:rsidP="00E022D1">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账户类型</w:t>
            </w:r>
          </w:p>
        </w:tc>
        <w:tc>
          <w:tcPr>
            <w:tcW w:w="2668" w:type="dxa"/>
            <w:vAlign w:val="center"/>
          </w:tcPr>
          <w:p w:rsidR="00B612B8" w:rsidRDefault="00B612B8" w:rsidP="00E022D1">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账号</w:t>
            </w:r>
          </w:p>
        </w:tc>
        <w:tc>
          <w:tcPr>
            <w:tcW w:w="1983" w:type="dxa"/>
            <w:vAlign w:val="center"/>
          </w:tcPr>
          <w:p w:rsidR="00B612B8" w:rsidRDefault="00B612B8" w:rsidP="00E022D1">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账户名称</w:t>
            </w:r>
          </w:p>
        </w:tc>
        <w:tc>
          <w:tcPr>
            <w:tcW w:w="1988" w:type="dxa"/>
            <w:vAlign w:val="center"/>
          </w:tcPr>
          <w:p w:rsidR="00B612B8" w:rsidRDefault="00B612B8" w:rsidP="00E022D1">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开户单位</w:t>
            </w:r>
          </w:p>
        </w:tc>
      </w:tr>
      <w:tr>
        <w:trPr>
          <w:trHeight w:val="584"/>
          <w:jc w:val="center"/>
        </w:trPr>
        <w:tc>
          <w:tcPr>
            <w:tcW w:w="696"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1</w:t>
            </w:r>
          </w:p>
        </w:tc>
        <w:tc>
          <w:tcPr>
            <w:tcW w:w="1567"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托管账户</w:t>
            </w:r>
          </w:p>
        </w:tc>
        <w:tc>
          <w:tcPr>
            <w:tcW w:w="2668"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0120030000000299</w:t>
            </w:r>
          </w:p>
        </w:tc>
        <w:tc>
          <w:tcPr>
            <w:tcW w:w="1983"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南京银行安稳1906一年定开</w:t>
            </w:r>
          </w:p>
        </w:tc>
        <w:tc>
          <w:tcPr>
            <w:tcW w:w="1988"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南京银行</w:t>
            </w:r>
          </w:p>
        </w:tc>
      </w:tr>
    </w:tbl>
    <w:p w:rsidR="001421A0" w:rsidRDefault="001421A0" w:rsidP="00D45351">
      <w:pPr>
        <w:spacing w:before="240" w:after="72" w:line="360" w:lineRule="auto"/>
        <w:rPr>
          <w:rFonts w:ascii="方正仿宋_GBK" w:eastAsia="方正仿宋_GBK"/>
          <w:sz w:val="24"/>
          <w:szCs w:val="24"/>
        </w:rPr>
      </w:pPr>
    </w:p>
    <w:p w:rsidR="001421A0" w:rsidRDefault="00B1693A" w:rsidP="00D45351">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§6 关联交易情况</w:t>
      </w:r>
    </w:p>
    <w:p w:rsidR="001421A0" w:rsidRDefault="00B1693A" w:rsidP="00D45351">
      <w:pPr>
        <w:snapToGrid/>
        <w:spacing w:before="240" w:after="72" w:line="360" w:lineRule="auto"/>
        <w:ind w:firstLineChars="200" w:firstLine="480"/>
        <w:jc w:val="both"/>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报告期内，产品投资于关联方发行的证券、关联方作为融资人的非标准化债权类资产业务交易金额0.00元。</w:t>
      </w:r>
    </w:p>
    <w:p w:rsidR="001421A0" w:rsidRDefault="00B1693A" w:rsidP="00D45351">
      <w:pPr>
        <w:snapToGrid/>
        <w:spacing w:before="240" w:after="72" w:line="360" w:lineRule="auto"/>
        <w:ind w:firstLineChars="200" w:firstLine="480"/>
        <w:jc w:val="both"/>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
      </w:r>
      <w:bookmarkStart w:id="0" w:name="_GoBack"/>
      <w:bookmarkEnd w:id="0"/>
      <w:r>
        <w:rPr>
          <w:rFonts w:ascii="方正仿宋_GBK" w:eastAsia="方正仿宋_GBK" w:hAnsiTheme="minorHAnsi" w:cstheme="minorBidi" w:hint="eastAsia"/>
          <w:sz w:val="24"/>
          <w:szCs w:val="24"/>
        </w:rPr>
        <w:t>产品投资于关联方承销的证券交易金额0.00元。</w:t>
      </w:r>
    </w:p>
    <w:p w:rsidR="001421A0" w:rsidRDefault="00B1693A" w:rsidP="00D45351">
      <w:pPr>
        <w:snapToGrid/>
        <w:spacing w:before="240" w:after="72" w:line="360" w:lineRule="auto"/>
        <w:ind w:firstLineChars="200" w:firstLine="480"/>
        <w:jc w:val="both"/>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产品与关联方作为交易对手开展的投融资业务交易金额0.00元。</w:t>
      </w:r>
    </w:p>
    <w:p w:rsidR="001421A0" w:rsidRDefault="00B1693A" w:rsidP="00D45351">
      <w:pPr>
        <w:snapToGrid/>
        <w:spacing w:before="240" w:after="72" w:line="360" w:lineRule="auto"/>
        <w:ind w:firstLineChars="200" w:firstLine="480"/>
        <w:jc w:val="both"/>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产品投资关联方作为管理人的资产管理产品交易金额0.00元。</w:t>
      </w:r>
    </w:p>
    <w:p w:rsidR="001421A0" w:rsidRDefault="006754C1" w:rsidP="00D45351">
      <w:pPr>
        <w:snapToGrid/>
        <w:spacing w:before="240" w:after="72" w:line="360" w:lineRule="auto"/>
        <w:ind w:firstLineChars="200" w:firstLine="480"/>
        <w:jc w:val="both"/>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lastRenderedPageBreak/>
        <w:t>产品</w:t>
      </w:r>
      <w:r w:rsidR="00B1693A">
        <w:rPr>
          <w:rFonts w:ascii="方正仿宋_GBK" w:eastAsia="方正仿宋_GBK" w:hAnsiTheme="minorHAnsi" w:cstheme="minorBidi" w:hint="eastAsia"/>
          <w:sz w:val="24"/>
          <w:szCs w:val="24"/>
        </w:rPr>
        <w:t>支付关联方托管费82,681.20</w:t>
      </w:r>
      <w:r>
        <w:rPr>
          <w:rFonts w:ascii="方正仿宋_GBK" w:eastAsia="方正仿宋_GBK" w:hAnsiTheme="minorHAnsi" w:cstheme="minorBidi" w:hint="eastAsia"/>
          <w:sz w:val="24"/>
          <w:szCs w:val="24"/>
        </w:rPr>
        <w:t>元，</w:t>
      </w:r>
      <w:r w:rsidR="00B1693A">
        <w:rPr>
          <w:rFonts w:ascii="方正仿宋_GBK" w:eastAsia="方正仿宋_GBK" w:hAnsiTheme="minorHAnsi" w:cstheme="minorBidi" w:hint="eastAsia"/>
          <w:sz w:val="24"/>
          <w:szCs w:val="24"/>
        </w:rPr>
        <w:t>支付关联方代销费848,389.94元。</w:t>
      </w:r>
    </w:p>
    <w:p w:rsidR="001421A0" w:rsidRDefault="00B1693A" w:rsidP="00D45351">
      <w:pPr>
        <w:snapToGrid/>
        <w:spacing w:before="240" w:after="72" w:line="360" w:lineRule="auto"/>
        <w:ind w:firstLineChars="200" w:firstLine="480"/>
        <w:jc w:val="both"/>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产品发生其他关联交易金额0.00元。</w:t>
      </w:r>
    </w:p>
    <w:p w:rsidR="001421A0" w:rsidRDefault="00B1693A" w:rsidP="00D45351">
      <w:pPr>
        <w:snapToGrid/>
        <w:spacing w:before="240" w:after="72" w:line="360" w:lineRule="auto"/>
        <w:ind w:firstLineChars="200" w:firstLine="480"/>
        <w:jc w:val="both"/>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报告期内，产品未发生重大关联交易。</w:t>
      </w:r>
    </w:p>
    <w:p w:rsidR="001421A0" w:rsidRDefault="001421A0" w:rsidP="00D45351">
      <w:pPr>
        <w:spacing w:before="240" w:after="72" w:line="360" w:lineRule="auto"/>
        <w:rPr>
          <w:rFonts w:ascii="方正仿宋_GBK" w:eastAsia="方正仿宋_GBK"/>
          <w:sz w:val="24"/>
          <w:szCs w:val="24"/>
        </w:rPr>
      </w:pPr>
    </w:p>
    <w:p w:rsidR="001421A0" w:rsidRDefault="001421A0" w:rsidP="00D45351">
      <w:pPr>
        <w:spacing w:before="240" w:after="72" w:line="360" w:lineRule="auto"/>
        <w:rPr>
          <w:rFonts w:ascii="方正仿宋_GBK" w:eastAsia="方正仿宋_GBK" w:hAnsi="宋体" w:cs="宋体"/>
          <w:kern w:val="0"/>
          <w:sz w:val="24"/>
          <w:szCs w:val="24"/>
        </w:rPr>
      </w:pPr>
    </w:p>
    <w:p w:rsidR="001421A0" w:rsidRDefault="001421A0" w:rsidP="00D45351">
      <w:pPr>
        <w:spacing w:before="240" w:after="72" w:line="360" w:lineRule="auto"/>
        <w:rPr>
          <w:rFonts w:ascii="方正仿宋_GBK" w:eastAsia="方正仿宋_GBK" w:hAnsi="宋体" w:cs="宋体"/>
          <w:kern w:val="0"/>
          <w:sz w:val="24"/>
          <w:szCs w:val="24"/>
        </w:rPr>
      </w:pPr>
    </w:p>
    <w:p w:rsidR="001421A0" w:rsidRDefault="001421A0" w:rsidP="00D45351">
      <w:pPr>
        <w:spacing w:before="240" w:after="72" w:line="360" w:lineRule="auto"/>
        <w:jc w:val="right"/>
        <w:rPr>
          <w:rFonts w:ascii="方正仿宋_GBK" w:eastAsia="方正仿宋_GBK"/>
          <w:b/>
          <w:sz w:val="24"/>
          <w:szCs w:val="24"/>
        </w:rPr>
      </w:pPr>
    </w:p>
    <w:p w:rsidR="001421A0" w:rsidRDefault="00B1693A" w:rsidP="00D45351">
      <w:pPr>
        <w:spacing w:before="240" w:after="72" w:line="360" w:lineRule="auto"/>
        <w:jc w:val="right"/>
        <w:rPr>
          <w:rFonts w:ascii="方正仿宋_GBK" w:eastAsia="方正仿宋_GBK" w:hAnsi="Calibri"/>
          <w:b/>
          <w:sz w:val="24"/>
          <w:szCs w:val="24"/>
        </w:rPr>
      </w:pPr>
      <w:r>
        <w:rPr>
          <w:rFonts w:ascii="方正仿宋_GBK" w:eastAsia="方正仿宋_GBK" w:hAnsi="Calibri" w:hint="eastAsia"/>
          <w:b/>
          <w:sz w:val="24"/>
          <w:szCs w:val="24"/>
        </w:rPr>
        <w:t>南银理财有限责任公司</w:t>
      </w:r>
    </w:p>
    <w:p w:rsidR="001421A0" w:rsidRPr="000B4524" w:rsidRDefault="00B1693A" w:rsidP="00D45351">
      <w:pPr>
        <w:spacing w:before="240" w:after="72" w:line="360" w:lineRule="auto"/>
        <w:jc w:val="right"/>
        <w:rPr>
          <w:rFonts w:ascii="方正仿宋_GBK" w:eastAsia="方正仿宋_GBK"/>
          <w:b/>
          <w:sz w:val="24"/>
          <w:szCs w:val="24"/>
        </w:rPr>
      </w:pPr>
      <w:r>
        <w:rPr>
          <w:rFonts w:ascii="方正仿宋_GBK" w:eastAsia="方正仿宋_GBK" w:hint="eastAsia"/>
          <w:b/>
          <w:sz w:val="24"/>
          <w:szCs w:val="24"/>
        </w:rPr>
        <w:t>2023年03月31日</w:t>
      </w:r>
    </w:p>
    <w:sectPr w:rsidR="001421A0" w:rsidRPr="000B4524" w:rsidSect="00D21AF8">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15AD" w:rsidRDefault="000215AD">
      <w:pPr>
        <w:spacing w:after="72"/>
      </w:pPr>
      <w:r>
        <w:separator/>
      </w:r>
    </w:p>
  </w:endnote>
  <w:endnote w:type="continuationSeparator" w:id="1">
    <w:p w:rsidR="000215AD" w:rsidRDefault="000215AD">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_GBK">
    <w:altName w:val="Arial Unicode MS"/>
    <w:charset w:val="86"/>
    <w:family w:val="script"/>
    <w:pitch w:val="fixed"/>
    <w:sig w:usb0="00000000" w:usb1="080E0000" w:usb2="00000010" w:usb3="00000000" w:csb0="00040000" w:csb1="00000000"/>
  </w:font>
  <w:font w:name="方正黑体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Calibri Light">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21A0" w:rsidRDefault="00E06F91">
    <w:pPr>
      <w:pStyle w:val="a3"/>
      <w:framePr w:wrap="around" w:vAnchor="text" w:hAnchor="margin" w:xAlign="center" w:y="1"/>
      <w:spacing w:after="72"/>
      <w:rPr>
        <w:rStyle w:val="a6"/>
      </w:rPr>
    </w:pPr>
    <w:r>
      <w:fldChar w:fldCharType="begin"/>
    </w:r>
    <w:r w:rsidR="00B1693A">
      <w:rPr>
        <w:rStyle w:val="a6"/>
      </w:rPr>
      <w:instrText xml:space="preserve">PAGE  </w:instrText>
    </w:r>
    <w:r>
      <w:fldChar w:fldCharType="end"/>
    </w:r>
  </w:p>
  <w:p w:rsidR="001421A0" w:rsidRDefault="001421A0">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21A0" w:rsidRDefault="001421A0">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21A0" w:rsidRDefault="001421A0">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15AD" w:rsidRDefault="000215AD">
      <w:pPr>
        <w:spacing w:after="72"/>
      </w:pPr>
      <w:r>
        <w:separator/>
      </w:r>
    </w:p>
  </w:footnote>
  <w:footnote w:type="continuationSeparator" w:id="1">
    <w:p w:rsidR="000215AD" w:rsidRDefault="000215AD">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21A0" w:rsidRDefault="001421A0">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21A0" w:rsidRDefault="001421A0">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21A0" w:rsidRDefault="001421A0">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044BE"/>
    <w:rsid w:val="000121D1"/>
    <w:rsid w:val="00012CAC"/>
    <w:rsid w:val="000203D8"/>
    <w:rsid w:val="000215AD"/>
    <w:rsid w:val="00063EA9"/>
    <w:rsid w:val="00072345"/>
    <w:rsid w:val="00097C35"/>
    <w:rsid w:val="000B288D"/>
    <w:rsid w:val="000B2B7B"/>
    <w:rsid w:val="000B4524"/>
    <w:rsid w:val="000C61EE"/>
    <w:rsid w:val="00106906"/>
    <w:rsid w:val="0013793E"/>
    <w:rsid w:val="00137D06"/>
    <w:rsid w:val="001421A0"/>
    <w:rsid w:val="0015692D"/>
    <w:rsid w:val="001765C7"/>
    <w:rsid w:val="0018311F"/>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6941"/>
    <w:rsid w:val="007672C3"/>
    <w:rsid w:val="00794F8E"/>
    <w:rsid w:val="007C0575"/>
    <w:rsid w:val="007C36B2"/>
    <w:rsid w:val="007C3F1F"/>
    <w:rsid w:val="007C7DC4"/>
    <w:rsid w:val="007D7CB7"/>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CC420DD"/>
    <w:rsid w:val="1FC4188E"/>
    <w:rsid w:val="509470EC"/>
    <w:rsid w:val="59E74023"/>
    <w:rsid w:val="5EBA334B"/>
    <w:rsid w:val="654F116F"/>
    <w:rsid w:val="67344534"/>
    <w:rsid w:val="6B00012E"/>
    <w:rsid w:val="702871A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1AF8"/>
    <w:pPr>
      <w:widowControl w:val="0"/>
      <w:snapToGrid w:val="0"/>
      <w:spacing w:afterLines="30"/>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D21AF8"/>
    <w:pPr>
      <w:tabs>
        <w:tab w:val="center" w:pos="4153"/>
        <w:tab w:val="right" w:pos="8306"/>
      </w:tabs>
    </w:pPr>
    <w:rPr>
      <w:rFonts w:eastAsiaTheme="minorEastAsia"/>
      <w:sz w:val="18"/>
      <w:szCs w:val="18"/>
    </w:rPr>
  </w:style>
  <w:style w:type="paragraph" w:styleId="a4">
    <w:name w:val="header"/>
    <w:basedOn w:val="a"/>
    <w:link w:val="Char0"/>
    <w:uiPriority w:val="99"/>
    <w:unhideWhenUsed/>
    <w:qFormat/>
    <w:rsid w:val="00D21AF8"/>
    <w:pPr>
      <w:pBdr>
        <w:bottom w:val="single" w:sz="6" w:space="1" w:color="auto"/>
      </w:pBdr>
      <w:tabs>
        <w:tab w:val="center" w:pos="4153"/>
        <w:tab w:val="right" w:pos="8306"/>
      </w:tabs>
      <w:jc w:val="center"/>
    </w:pPr>
    <w:rPr>
      <w:sz w:val="18"/>
      <w:szCs w:val="18"/>
    </w:rPr>
  </w:style>
  <w:style w:type="paragraph" w:styleId="a5">
    <w:name w:val="Normal (Web)"/>
    <w:basedOn w:val="a"/>
    <w:qFormat/>
    <w:rsid w:val="00D21AF8"/>
    <w:pPr>
      <w:spacing w:before="100" w:beforeAutospacing="1" w:after="100" w:afterAutospacing="1"/>
    </w:pPr>
    <w:rPr>
      <w:rFonts w:ascii="宋体" w:hAnsi="宋体"/>
      <w:kern w:val="0"/>
      <w:sz w:val="24"/>
      <w:szCs w:val="24"/>
    </w:rPr>
  </w:style>
  <w:style w:type="character" w:styleId="a6">
    <w:name w:val="page number"/>
    <w:basedOn w:val="a0"/>
    <w:uiPriority w:val="99"/>
    <w:unhideWhenUsed/>
    <w:qFormat/>
    <w:rsid w:val="00D21AF8"/>
  </w:style>
  <w:style w:type="character" w:customStyle="1" w:styleId="Char">
    <w:name w:val="页脚 Char"/>
    <w:link w:val="a3"/>
    <w:uiPriority w:val="99"/>
    <w:qFormat/>
    <w:locked/>
    <w:rsid w:val="00D21AF8"/>
    <w:rPr>
      <w:rFonts w:ascii="Times New Roman" w:hAnsi="Times New Roman" w:cs="Times New Roman"/>
      <w:sz w:val="18"/>
      <w:szCs w:val="18"/>
    </w:rPr>
  </w:style>
  <w:style w:type="character" w:customStyle="1" w:styleId="Char1">
    <w:name w:val="页脚 Char1"/>
    <w:basedOn w:val="a0"/>
    <w:uiPriority w:val="99"/>
    <w:semiHidden/>
    <w:qFormat/>
    <w:rsid w:val="00D21AF8"/>
    <w:rPr>
      <w:rFonts w:ascii="Times New Roman" w:eastAsia="宋体" w:hAnsi="Times New Roman" w:cs="Times New Roman"/>
      <w:sz w:val="18"/>
      <w:szCs w:val="18"/>
    </w:rPr>
  </w:style>
  <w:style w:type="paragraph" w:customStyle="1" w:styleId="biaogeleft">
    <w:name w:val="biaoge_left"/>
    <w:basedOn w:val="a"/>
    <w:qFormat/>
    <w:rsid w:val="00D21AF8"/>
    <w:pPr>
      <w:autoSpaceDE w:val="0"/>
      <w:autoSpaceDN w:val="0"/>
      <w:adjustRightInd w:val="0"/>
      <w:spacing w:before="29" w:line="288" w:lineRule="auto"/>
      <w:ind w:left="15"/>
    </w:pPr>
    <w:rPr>
      <w:rFonts w:ascii="宋体" w:hAnsi="宋体" w:cs="宋体"/>
      <w:kern w:val="0"/>
      <w:sz w:val="24"/>
      <w:szCs w:val="24"/>
    </w:rPr>
  </w:style>
  <w:style w:type="paragraph" w:customStyle="1" w:styleId="zhangjiep2">
    <w:name w:val="zhangjie_p2"/>
    <w:basedOn w:val="a"/>
    <w:qFormat/>
    <w:rsid w:val="00D21AF8"/>
    <w:pPr>
      <w:autoSpaceDE w:val="0"/>
      <w:autoSpaceDN w:val="0"/>
      <w:adjustRightInd w:val="0"/>
      <w:spacing w:before="24" w:line="288" w:lineRule="auto"/>
      <w:ind w:left="15"/>
    </w:pPr>
    <w:rPr>
      <w:rFonts w:ascii="宋体" w:hAnsi="宋体" w:cs="宋体"/>
      <w:kern w:val="0"/>
      <w:sz w:val="24"/>
      <w:szCs w:val="24"/>
    </w:rPr>
  </w:style>
  <w:style w:type="paragraph" w:customStyle="1" w:styleId="biaogecenter">
    <w:name w:val="biaoge_center"/>
    <w:basedOn w:val="a"/>
    <w:qFormat/>
    <w:rsid w:val="00D21AF8"/>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D21AF8"/>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D21AF8"/>
    <w:pPr>
      <w:jc w:val="both"/>
    </w:pPr>
    <w:rPr>
      <w:rFonts w:ascii="Times New Roman" w:eastAsia="宋体" w:hAnsi="Times New Roman" w:cs="Times New Roman"/>
      <w:kern w:val="2"/>
      <w:sz w:val="21"/>
      <w:szCs w:val="21"/>
    </w:rPr>
  </w:style>
  <w:style w:type="paragraph" w:customStyle="1" w:styleId="biaogeright">
    <w:name w:val="biaoge_right"/>
    <w:basedOn w:val="a"/>
    <w:qFormat/>
    <w:rsid w:val="00D21AF8"/>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D21AF8"/>
    <w:pPr>
      <w:autoSpaceDE w:val="0"/>
      <w:autoSpaceDN w:val="0"/>
      <w:adjustRightInd w:val="0"/>
      <w:spacing w:before="29" w:line="288" w:lineRule="auto"/>
      <w:ind w:left="15"/>
    </w:pPr>
    <w:rPr>
      <w:rFonts w:ascii="宋体" w:hAnsi="宋体" w:cs="宋体"/>
      <w:kern w:val="0"/>
      <w:sz w:val="24"/>
      <w:szCs w:val="24"/>
    </w:rPr>
  </w:style>
  <w:style w:type="paragraph" w:customStyle="1" w:styleId="zhangjiep">
    <w:name w:val="zhangjie_p"/>
    <w:basedOn w:val="a"/>
    <w:qFormat/>
    <w:rsid w:val="00D21AF8"/>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Default">
    <w:name w:val="Default"/>
    <w:qFormat/>
    <w:rsid w:val="00D21AF8"/>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D21AF8"/>
    <w:rPr>
      <w:rFonts w:ascii="Times New Roman" w:eastAsia="宋体" w:hAnsi="Times New Roman" w:cs="Times New Roman"/>
      <w:sz w:val="18"/>
      <w:szCs w:val="18"/>
    </w:rPr>
  </w:style>
  <w:style w:type="paragraph" w:customStyle="1" w:styleId="10">
    <w:name w:val="列出段落1"/>
    <w:basedOn w:val="a"/>
    <w:uiPriority w:val="99"/>
    <w:qFormat/>
    <w:rsid w:val="00D21AF8"/>
    <w:pPr>
      <w:ind w:firstLineChars="200" w:firstLine="420"/>
    </w:pPr>
  </w:style>
</w:styles>
</file>

<file path=word/webSettings.xml><?xml version="1.0" encoding="utf-8"?>
<w:webSettings xmlns:r="http://schemas.openxmlformats.org/officeDocument/2006/relationships" xmlns:w="http://schemas.openxmlformats.org/wordprocessingml/2006/main">
  <w:divs>
    <w:div w:id="20613945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6</Pages>
  <Words>344</Words>
  <Characters>1967</Characters>
  <Application>Microsoft Office Word</Application>
  <DocSecurity>0</DocSecurity>
  <Lines>16</Lines>
  <Paragraphs>4</Paragraphs>
  <ScaleCrop>false</ScaleCrop>
  <Company>cc</Company>
  <LinksUpToDate>false</LinksUpToDate>
  <CharactersWithSpaces>2307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未定义</cp:lastModifiedBy>
  <dcterms:modified xsi:type="dcterms:W3CDTF">2023-04-14T10:07:00Z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DA7D07A671F94F61B430BF557E8AE20F</vt:lpwstr>
  </property>
</Properties>
</file>